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eastAsia="方正小标宋_GBK"/>
          <w:sz w:val="36"/>
          <w:szCs w:val="36"/>
        </w:rPr>
      </w:pPr>
      <w:bookmarkStart w:id="0" w:name="_Toc401927303"/>
      <w:bookmarkStart w:id="1" w:name="_Toc36543011"/>
      <w:r>
        <w:rPr>
          <w:rFonts w:ascii="Times New Roman" w:hAnsi="Times New Roman" w:eastAsia="方正小标宋_GBK"/>
          <w:sz w:val="36"/>
          <w:szCs w:val="36"/>
        </w:rPr>
        <w:t>2020年湖北省科技奖提名公示</w:t>
      </w:r>
      <w:bookmarkEnd w:id="0"/>
      <w:bookmarkEnd w:id="1"/>
    </w:p>
    <w:p>
      <w:pPr>
        <w:spacing w:line="360" w:lineRule="auto"/>
        <w:ind w:right="-197" w:rightChars="-94"/>
        <w:jc w:val="left"/>
        <w:rPr>
          <w:rFonts w:ascii="Times New Roman" w:hAnsi="Times New Roman"/>
          <w:color w:val="0D0D0D"/>
          <w:sz w:val="24"/>
        </w:rPr>
      </w:pPr>
      <w:r>
        <w:rPr>
          <w:rFonts w:ascii="黑体" w:hAnsi="黑体" w:eastAsia="黑体"/>
          <w:b/>
          <w:color w:val="0D0D0D"/>
          <w:sz w:val="24"/>
        </w:rPr>
        <w:t>项目名称</w:t>
      </w:r>
      <w:r>
        <w:rPr>
          <w:rFonts w:hint="eastAsia" w:ascii="黑体" w:hAnsi="黑体" w:eastAsia="黑体"/>
          <w:color w:val="0D0D0D"/>
          <w:sz w:val="24"/>
        </w:rPr>
        <w:t>：</w:t>
      </w:r>
      <w:r>
        <w:rPr>
          <w:rFonts w:hint="eastAsia" w:ascii="Times New Roman" w:hAnsi="Times New Roman"/>
          <w:color w:val="0D0D0D"/>
          <w:sz w:val="22"/>
        </w:rPr>
        <w:t>功能性路面建造及长期服役性能保持与动态评价关键技术</w:t>
      </w:r>
    </w:p>
    <w:p>
      <w:pPr>
        <w:spacing w:line="360" w:lineRule="auto"/>
        <w:jc w:val="left"/>
        <w:rPr>
          <w:rFonts w:ascii="Times New Roman" w:hAnsi="Times New Roman"/>
          <w:color w:val="0D0D0D"/>
          <w:sz w:val="24"/>
        </w:rPr>
      </w:pPr>
      <w:r>
        <w:rPr>
          <w:rFonts w:ascii="黑体" w:hAnsi="黑体" w:eastAsia="黑体"/>
          <w:b/>
          <w:color w:val="0D0D0D"/>
          <w:sz w:val="24"/>
        </w:rPr>
        <w:t>提名单位：</w:t>
      </w:r>
      <w:r>
        <w:rPr>
          <w:rFonts w:ascii="Times New Roman" w:hAnsi="Times New Roman"/>
          <w:color w:val="0D0D0D"/>
          <w:sz w:val="22"/>
        </w:rPr>
        <w:t>湖北</w:t>
      </w:r>
      <w:r>
        <w:rPr>
          <w:rFonts w:hint="eastAsia" w:ascii="Times New Roman" w:hAnsi="Times New Roman"/>
          <w:color w:val="0D0D0D"/>
          <w:sz w:val="22"/>
        </w:rPr>
        <w:t>省</w:t>
      </w:r>
      <w:r>
        <w:rPr>
          <w:rFonts w:ascii="Times New Roman" w:hAnsi="Times New Roman"/>
          <w:color w:val="0D0D0D"/>
          <w:sz w:val="22"/>
        </w:rPr>
        <w:t>教育厅</w:t>
      </w:r>
    </w:p>
    <w:p>
      <w:pPr>
        <w:spacing w:line="360" w:lineRule="auto"/>
        <w:jc w:val="left"/>
        <w:rPr>
          <w:rFonts w:ascii="Times New Roman" w:hAnsi="Times New Roman"/>
          <w:color w:val="FF0000"/>
          <w:sz w:val="24"/>
        </w:rPr>
      </w:pPr>
      <w:r>
        <w:rPr>
          <w:rFonts w:ascii="黑体" w:hAnsi="黑体" w:eastAsia="黑体"/>
          <w:b/>
          <w:color w:val="0D0D0D"/>
          <w:sz w:val="24"/>
        </w:rPr>
        <w:t>提名等级：</w:t>
      </w:r>
      <w:r>
        <w:rPr>
          <w:rFonts w:ascii="Times New Roman" w:hAnsi="Times New Roman"/>
          <w:color w:val="0D0D0D"/>
          <w:sz w:val="22"/>
        </w:rPr>
        <w:t>科技进步</w:t>
      </w:r>
      <w:r>
        <w:rPr>
          <w:rFonts w:hint="eastAsia" w:ascii="Times New Roman" w:hAnsi="Times New Roman"/>
          <w:color w:val="0D0D0D"/>
          <w:sz w:val="22"/>
        </w:rPr>
        <w:t>特</w:t>
      </w:r>
      <w:r>
        <w:rPr>
          <w:rFonts w:ascii="Times New Roman" w:hAnsi="Times New Roman"/>
          <w:color w:val="0D0D0D"/>
          <w:sz w:val="22"/>
        </w:rPr>
        <w:t>等奖</w:t>
      </w:r>
    </w:p>
    <w:p>
      <w:pPr>
        <w:spacing w:line="360" w:lineRule="auto"/>
        <w:jc w:val="left"/>
      </w:pPr>
      <w:r>
        <w:rPr>
          <w:rFonts w:ascii="黑体" w:hAnsi="黑体" w:eastAsia="黑体"/>
          <w:b/>
          <w:color w:val="0D0D0D"/>
          <w:sz w:val="24"/>
        </w:rPr>
        <w:t>项目简介：</w:t>
      </w:r>
      <w:r>
        <w:rPr>
          <w:rFonts w:hint="eastAsia"/>
        </w:rPr>
        <w:t>本项目属于交通运输领域道路工程学科。</w:t>
      </w:r>
      <w:r>
        <w:rPr>
          <w:rFonts w:hint="eastAsia" w:asciiTheme="minorEastAsia" w:hAnsiTheme="minorEastAsia"/>
          <w:szCs w:val="20"/>
        </w:rPr>
        <w:t>随着“交通强国”、“一带一路”和城镇化建设等国家重大战略的实施，现代交通正逐步向道路安全型、环境友好型、资源节约型等方向发展，抗滑、降噪、透水、降温和尾气油污降解等功能性路面在我国得到广泛应用。但是，功能性路面建造养护及其长期服役性能保持和评价一直是国际公认的技术难题，为此，项目组经过15年的科技攻关，创建了功能性路面材料-结构-功能协同理论和建造技术体系，创新了功能性路面服役期长期性能保持与高效恢复技术，发明了在役功能性路面动态性能检测装备和快速评价技术，</w:t>
      </w:r>
      <w:r>
        <w:rPr>
          <w:rFonts w:hint="eastAsia"/>
        </w:rPr>
        <w:t>形成了完整的工程应用体系</w:t>
      </w:r>
      <w:r>
        <w:rPr>
          <w:rFonts w:hint="eastAsia" w:asciiTheme="minorEastAsia" w:hAnsiTheme="minorEastAsia"/>
          <w:szCs w:val="20"/>
        </w:rPr>
        <w:t>。</w:t>
      </w:r>
    </w:p>
    <w:p>
      <w:pPr>
        <w:spacing w:line="360" w:lineRule="auto"/>
        <w:jc w:val="left"/>
        <w:rPr>
          <w:rFonts w:ascii="黑体" w:hAnsi="黑体" w:eastAsia="黑体"/>
          <w:b/>
          <w:color w:val="0D0D0D"/>
          <w:sz w:val="24"/>
        </w:rPr>
      </w:pPr>
      <w:r>
        <w:rPr>
          <w:rFonts w:ascii="黑体" w:hAnsi="黑体" w:eastAsia="黑体"/>
          <w:b/>
          <w:color w:val="0D0D0D"/>
          <w:sz w:val="24"/>
        </w:rPr>
        <w:t>主要知识产权和标准规范等目录</w:t>
      </w:r>
      <w:r>
        <w:rPr>
          <w:rFonts w:hint="eastAsia" w:ascii="黑体" w:hAnsi="黑体" w:eastAsia="黑体"/>
          <w:b/>
          <w:color w:val="0D0D0D"/>
          <w:sz w:val="24"/>
        </w:rPr>
        <w:t>：</w:t>
      </w:r>
    </w:p>
    <w:p>
      <w:pPr>
        <w:tabs>
          <w:tab w:val="left" w:pos="284"/>
          <w:tab w:val="left" w:pos="426"/>
        </w:tabs>
        <w:spacing w:line="360" w:lineRule="auto"/>
        <w:jc w:val="left"/>
        <w:rPr>
          <w:rFonts w:ascii="Times New Roman" w:hAnsi="Times New Roman"/>
          <w:color w:val="000000"/>
          <w:sz w:val="20"/>
          <w:szCs w:val="18"/>
        </w:rPr>
      </w:pPr>
      <w:r>
        <w:rPr>
          <w:rFonts w:hint="eastAsia"/>
          <w:sz w:val="22"/>
        </w:rPr>
        <w:t>1、发明专利，</w:t>
      </w:r>
      <w:r>
        <w:rPr>
          <w:rFonts w:hint="eastAsia" w:ascii="Times New Roman" w:hAnsi="Times New Roman"/>
          <w:color w:val="000000"/>
          <w:sz w:val="20"/>
          <w:szCs w:val="18"/>
        </w:rPr>
        <w:t>基于SIFT的双目视觉沥青路面微观纹理三维图像重构方法，</w:t>
      </w:r>
      <w:r>
        <w:rPr>
          <w:rFonts w:ascii="Times New Roman" w:hAnsi="Times New Roman"/>
          <w:color w:val="000000"/>
          <w:sz w:val="20"/>
          <w:szCs w:val="18"/>
        </w:rPr>
        <w:t>ZL</w:t>
      </w:r>
      <w:r>
        <w:rPr>
          <w:rFonts w:hint="eastAsia" w:ascii="Times New Roman" w:hAnsi="Times New Roman"/>
          <w:color w:val="000000"/>
          <w:sz w:val="20"/>
          <w:szCs w:val="18"/>
        </w:rPr>
        <w:t>201410623932.1</w:t>
      </w:r>
    </w:p>
    <w:p>
      <w:pPr>
        <w:tabs>
          <w:tab w:val="left" w:pos="284"/>
          <w:tab w:val="left" w:pos="426"/>
        </w:tabs>
        <w:spacing w:line="360" w:lineRule="auto"/>
        <w:jc w:val="left"/>
        <w:rPr>
          <w:sz w:val="22"/>
        </w:rPr>
      </w:pPr>
      <w:r>
        <w:rPr>
          <w:rFonts w:hint="eastAsia" w:ascii="Times New Roman" w:hAnsi="Times New Roman"/>
          <w:color w:val="000000"/>
          <w:sz w:val="20"/>
          <w:szCs w:val="18"/>
        </w:rPr>
        <w:t>2、</w:t>
      </w:r>
      <w:r>
        <w:rPr>
          <w:rFonts w:ascii="Times New Roman" w:hAnsi="Times New Roman"/>
          <w:color w:val="000000"/>
          <w:sz w:val="20"/>
          <w:szCs w:val="18"/>
        </w:rPr>
        <w:t>发明专利权</w:t>
      </w:r>
      <w:r>
        <w:rPr>
          <w:rFonts w:hint="eastAsia" w:ascii="Times New Roman" w:hAnsi="Times New Roman"/>
          <w:color w:val="000000"/>
          <w:sz w:val="20"/>
          <w:szCs w:val="18"/>
        </w:rPr>
        <w:t>，基于灰关联的沥青混合料抗滑性能评价方法，</w:t>
      </w:r>
      <w:r>
        <w:rPr>
          <w:rFonts w:ascii="Times New Roman" w:hAnsi="Times New Roman"/>
          <w:color w:val="000000"/>
          <w:sz w:val="20"/>
          <w:szCs w:val="18"/>
        </w:rPr>
        <w:t>ZL</w:t>
      </w:r>
      <w:r>
        <w:rPr>
          <w:rFonts w:hint="eastAsia" w:ascii="Times New Roman" w:hAnsi="Times New Roman"/>
          <w:color w:val="000000"/>
          <w:sz w:val="20"/>
          <w:szCs w:val="18"/>
        </w:rPr>
        <w:t>201710322984.9</w:t>
      </w:r>
    </w:p>
    <w:p>
      <w:pPr>
        <w:tabs>
          <w:tab w:val="left" w:pos="284"/>
          <w:tab w:val="left" w:pos="426"/>
        </w:tabs>
        <w:spacing w:line="360" w:lineRule="auto"/>
        <w:jc w:val="left"/>
        <w:rPr>
          <w:sz w:val="22"/>
        </w:rPr>
      </w:pPr>
      <w:r>
        <w:rPr>
          <w:rFonts w:hint="eastAsia" w:ascii="Times New Roman" w:hAnsi="Times New Roman"/>
          <w:color w:val="000000"/>
          <w:sz w:val="20"/>
          <w:szCs w:val="18"/>
        </w:rPr>
        <w:t>3、</w:t>
      </w:r>
      <w:r>
        <w:rPr>
          <w:rFonts w:ascii="Times New Roman" w:hAnsi="Times New Roman"/>
          <w:color w:val="000000"/>
          <w:sz w:val="20"/>
          <w:szCs w:val="18"/>
        </w:rPr>
        <w:t>发明专利权</w:t>
      </w:r>
      <w:r>
        <w:rPr>
          <w:rFonts w:hint="eastAsia" w:ascii="Times New Roman" w:hAnsi="Times New Roman"/>
          <w:color w:val="000000"/>
          <w:sz w:val="20"/>
          <w:szCs w:val="18"/>
        </w:rPr>
        <w:t>，一种适用于透水路面的清洁养护车、方法及应用，ZL201710081327.X</w:t>
      </w:r>
    </w:p>
    <w:p>
      <w:pPr>
        <w:tabs>
          <w:tab w:val="left" w:pos="284"/>
          <w:tab w:val="left" w:pos="426"/>
        </w:tabs>
        <w:spacing w:line="360" w:lineRule="auto"/>
        <w:jc w:val="left"/>
        <w:rPr>
          <w:rFonts w:ascii="Times New Roman" w:hAnsi="Times New Roman"/>
          <w:color w:val="000000"/>
          <w:sz w:val="20"/>
          <w:szCs w:val="18"/>
        </w:rPr>
      </w:pPr>
      <w:r>
        <w:rPr>
          <w:rFonts w:hint="eastAsia" w:ascii="Times New Roman" w:hAnsi="Times New Roman"/>
          <w:color w:val="000000"/>
          <w:sz w:val="20"/>
          <w:szCs w:val="18"/>
        </w:rPr>
        <w:t>4、</w:t>
      </w:r>
      <w:r>
        <w:rPr>
          <w:rFonts w:ascii="Times New Roman" w:hAnsi="Times New Roman"/>
          <w:color w:val="000000"/>
          <w:sz w:val="20"/>
          <w:szCs w:val="18"/>
        </w:rPr>
        <w:t>发明专利权</w:t>
      </w:r>
      <w:r>
        <w:rPr>
          <w:rFonts w:hint="eastAsia" w:ascii="Times New Roman" w:hAnsi="Times New Roman"/>
          <w:color w:val="000000"/>
          <w:sz w:val="20"/>
          <w:szCs w:val="18"/>
        </w:rPr>
        <w:t>，影响因素变化可控的气固相光催化反应效果检测装置及方法，</w:t>
      </w:r>
      <w:r>
        <w:rPr>
          <w:rFonts w:ascii="Times New Roman" w:hAnsi="Times New Roman"/>
          <w:color w:val="000000"/>
          <w:sz w:val="20"/>
          <w:szCs w:val="18"/>
        </w:rPr>
        <w:t>ZL201310017395.1</w:t>
      </w:r>
    </w:p>
    <w:p>
      <w:pPr>
        <w:tabs>
          <w:tab w:val="left" w:pos="284"/>
          <w:tab w:val="left" w:pos="426"/>
        </w:tabs>
        <w:spacing w:line="360" w:lineRule="auto"/>
        <w:jc w:val="left"/>
        <w:rPr>
          <w:rFonts w:ascii="Times New Roman" w:hAnsi="Times New Roman"/>
          <w:color w:val="000000"/>
          <w:sz w:val="20"/>
          <w:szCs w:val="18"/>
        </w:rPr>
      </w:pPr>
      <w:r>
        <w:rPr>
          <w:rFonts w:hint="eastAsia" w:ascii="Times New Roman" w:hAnsi="Times New Roman"/>
          <w:color w:val="000000"/>
          <w:sz w:val="20"/>
          <w:szCs w:val="18"/>
        </w:rPr>
        <w:t>5、发明专利权，路面油污现场光催化降解处治效果监测方法，</w:t>
      </w:r>
      <w:r>
        <w:rPr>
          <w:rFonts w:ascii="Times New Roman" w:hAnsi="Times New Roman"/>
          <w:color w:val="000000"/>
          <w:sz w:val="20"/>
          <w:szCs w:val="18"/>
        </w:rPr>
        <w:t>ZL201410263471.1</w:t>
      </w:r>
    </w:p>
    <w:p>
      <w:pPr>
        <w:tabs>
          <w:tab w:val="left" w:pos="284"/>
          <w:tab w:val="left" w:pos="426"/>
        </w:tabs>
        <w:spacing w:line="360" w:lineRule="auto"/>
        <w:jc w:val="left"/>
        <w:rPr>
          <w:rFonts w:ascii="Times New Roman" w:hAnsi="Times New Roman"/>
          <w:color w:val="000000"/>
          <w:sz w:val="20"/>
          <w:szCs w:val="18"/>
        </w:rPr>
      </w:pPr>
      <w:r>
        <w:rPr>
          <w:rFonts w:hint="eastAsia" w:ascii="Times New Roman" w:hAnsi="Times New Roman"/>
          <w:color w:val="000000"/>
          <w:sz w:val="20"/>
          <w:szCs w:val="18"/>
        </w:rPr>
        <w:t>6、发明专利权，基于空隙形态参数测试的沥青路面吸声系数预估方法，</w:t>
      </w:r>
      <w:r>
        <w:rPr>
          <w:rFonts w:ascii="Times New Roman" w:hAnsi="Times New Roman"/>
          <w:color w:val="000000"/>
          <w:sz w:val="20"/>
          <w:szCs w:val="18"/>
        </w:rPr>
        <w:t>ZL201210525588.3</w:t>
      </w:r>
    </w:p>
    <w:p>
      <w:pPr>
        <w:tabs>
          <w:tab w:val="left" w:pos="284"/>
          <w:tab w:val="left" w:pos="426"/>
        </w:tabs>
        <w:spacing w:line="360" w:lineRule="auto"/>
        <w:jc w:val="left"/>
        <w:rPr>
          <w:rFonts w:ascii="Times New Roman" w:hAnsi="Times New Roman"/>
          <w:color w:val="000000"/>
          <w:sz w:val="20"/>
          <w:szCs w:val="18"/>
        </w:rPr>
      </w:pPr>
      <w:r>
        <w:rPr>
          <w:rFonts w:hint="eastAsia" w:ascii="Times New Roman" w:hAnsi="Times New Roman"/>
          <w:color w:val="000000"/>
          <w:sz w:val="20"/>
          <w:szCs w:val="18"/>
        </w:rPr>
        <w:t>7、发明专利权，一种半刚性基层沥青路面结构性维修设计方法，</w:t>
      </w:r>
      <w:r>
        <w:rPr>
          <w:rFonts w:ascii="Times New Roman" w:hAnsi="Times New Roman"/>
          <w:color w:val="000000"/>
          <w:sz w:val="20"/>
          <w:szCs w:val="18"/>
        </w:rPr>
        <w:t>ZL201510150613.8</w:t>
      </w:r>
    </w:p>
    <w:p>
      <w:pPr>
        <w:tabs>
          <w:tab w:val="left" w:pos="284"/>
          <w:tab w:val="left" w:pos="426"/>
        </w:tabs>
        <w:spacing w:line="360" w:lineRule="auto"/>
        <w:jc w:val="left"/>
        <w:rPr>
          <w:rFonts w:ascii="Times New Roman" w:hAnsi="Times New Roman"/>
          <w:color w:val="000000"/>
          <w:sz w:val="20"/>
          <w:szCs w:val="18"/>
        </w:rPr>
      </w:pPr>
      <w:r>
        <w:rPr>
          <w:rFonts w:hint="eastAsia" w:ascii="Times New Roman" w:hAnsi="Times New Roman"/>
          <w:color w:val="000000"/>
          <w:sz w:val="20"/>
          <w:szCs w:val="18"/>
        </w:rPr>
        <w:t>8、国家标准，沥青混合料专业名词术语，GB/T 37383-2019</w:t>
      </w:r>
    </w:p>
    <w:p>
      <w:pPr>
        <w:tabs>
          <w:tab w:val="left" w:pos="284"/>
          <w:tab w:val="left" w:pos="426"/>
        </w:tabs>
        <w:spacing w:line="360" w:lineRule="auto"/>
        <w:jc w:val="left"/>
        <w:rPr>
          <w:rFonts w:ascii="Times New Roman" w:hAnsi="Times New Roman"/>
          <w:color w:val="000000"/>
          <w:sz w:val="20"/>
          <w:szCs w:val="18"/>
        </w:rPr>
      </w:pPr>
      <w:r>
        <w:rPr>
          <w:rFonts w:hint="eastAsia" w:ascii="Times New Roman" w:hAnsi="Times New Roman"/>
          <w:color w:val="000000"/>
          <w:sz w:val="20"/>
          <w:szCs w:val="18"/>
        </w:rPr>
        <w:t>9、地方标准，高速公路双层排水沥青</w:t>
      </w:r>
      <w:bookmarkStart w:id="2" w:name="_GoBack"/>
      <w:bookmarkEnd w:id="2"/>
      <w:r>
        <w:rPr>
          <w:rFonts w:hint="eastAsia" w:ascii="Times New Roman" w:hAnsi="Times New Roman"/>
          <w:color w:val="000000"/>
          <w:sz w:val="20"/>
          <w:szCs w:val="18"/>
        </w:rPr>
        <w:t>混凝土路面技术指南，DB36/T 1177-2019</w:t>
      </w:r>
    </w:p>
    <w:p>
      <w:pPr>
        <w:tabs>
          <w:tab w:val="left" w:pos="284"/>
          <w:tab w:val="left" w:pos="426"/>
        </w:tabs>
        <w:spacing w:line="360" w:lineRule="auto"/>
        <w:jc w:val="left"/>
        <w:rPr>
          <w:rFonts w:ascii="Times New Roman" w:hAnsi="Times New Roman"/>
          <w:color w:val="000000"/>
          <w:sz w:val="20"/>
          <w:szCs w:val="18"/>
        </w:rPr>
      </w:pPr>
      <w:r>
        <w:rPr>
          <w:rFonts w:hint="eastAsia" w:ascii="Times New Roman" w:hAnsi="Times New Roman"/>
          <w:color w:val="000000"/>
          <w:sz w:val="20"/>
          <w:szCs w:val="18"/>
        </w:rPr>
        <w:t>10、团体标准，透水混凝土试验方法，T/CSTM 00040-2019</w:t>
      </w:r>
    </w:p>
    <w:p>
      <w:pPr>
        <w:spacing w:line="360" w:lineRule="auto"/>
        <w:jc w:val="left"/>
        <w:rPr>
          <w:rFonts w:ascii="Times New Roman" w:hAnsi="Times New Roman"/>
          <w:color w:val="auto"/>
          <w:szCs w:val="21"/>
        </w:rPr>
      </w:pPr>
      <w:r>
        <w:rPr>
          <w:rFonts w:ascii="黑体" w:hAnsi="黑体" w:eastAsia="黑体"/>
          <w:b/>
          <w:color w:val="0D0D0D"/>
          <w:sz w:val="24"/>
        </w:rPr>
        <w:t>主要完成人</w:t>
      </w:r>
      <w:r>
        <w:rPr>
          <w:rFonts w:hint="eastAsia" w:ascii="黑体" w:hAnsi="黑体" w:eastAsia="黑体"/>
          <w:b/>
          <w:color w:val="0D0D0D"/>
          <w:sz w:val="24"/>
        </w:rPr>
        <w:t>：</w:t>
      </w:r>
      <w:r>
        <w:rPr>
          <w:rFonts w:hint="eastAsia" w:ascii="Times New Roman" w:hAnsi="Times New Roman"/>
          <w:color w:val="0D0D0D"/>
          <w:szCs w:val="21"/>
        </w:rPr>
        <w:t>周兴林、马涛、钱国平、崔新壮、冉茂平、黄晓明、张炯、张旭东、曹荣吉、詹建辉、常成利、陈传盛、李晋、王昕、徐浩然、邹兰林、金娇、郑祖恩、唐达昆、张克胜、杜爱兵、于华南、黄开</w:t>
      </w:r>
      <w:r>
        <w:rPr>
          <w:rFonts w:hint="eastAsia" w:ascii="Times New Roman" w:hAnsi="Times New Roman"/>
          <w:color w:val="auto"/>
          <w:szCs w:val="21"/>
        </w:rPr>
        <w:t>宇、蔡军、张云、吕锐晶、汤文、贾保正</w:t>
      </w:r>
    </w:p>
    <w:p>
      <w:pPr>
        <w:spacing w:line="360" w:lineRule="auto"/>
        <w:jc w:val="left"/>
        <w:rPr>
          <w:rFonts w:ascii="Times New Roman" w:hAnsi="Times New Roman"/>
          <w:color w:val="0D0D0D"/>
          <w:sz w:val="28"/>
          <w:szCs w:val="32"/>
        </w:rPr>
      </w:pPr>
      <w:r>
        <w:rPr>
          <w:rFonts w:ascii="黑体" w:hAnsi="黑体" w:eastAsia="黑体"/>
          <w:b/>
          <w:color w:val="0D0D0D"/>
          <w:sz w:val="24"/>
        </w:rPr>
        <w:t>主要完成单位：</w:t>
      </w:r>
      <w:r>
        <w:rPr>
          <w:rFonts w:hint="eastAsia" w:ascii="Times New Roman" w:hAnsi="Times New Roman"/>
          <w:color w:val="0D0D0D"/>
          <w:szCs w:val="21"/>
        </w:rPr>
        <w:t>武汉科技大学、东南大学、长沙理工大学、山东大学、中公高科养护科技股份有限公司、中交第四公路工程局有限公司、中铁十一局集团有限公司、湖北省交通规划设计院股份有限公司、苏交科集团股份有限公司、山东交通学院、湖南省交通科学研究院有限公司、武汉市汉阳市政建设集团有限公司</w:t>
      </w:r>
    </w:p>
    <w:sectPr>
      <w:pgSz w:w="11906" w:h="16838"/>
      <w:pgMar w:top="1418"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169F24-F7DE-4AB9-B0E7-B0B0CC3566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D5C49D2-DA37-4AFE-9CED-A2999A3ED767}"/>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2000000000000000000"/>
    <w:charset w:val="86"/>
    <w:family w:val="auto"/>
    <w:pitch w:val="default"/>
    <w:sig w:usb0="A00002BF" w:usb1="38CF7CFA" w:usb2="00082016" w:usb3="00000000" w:csb0="00040001" w:csb1="00000000"/>
    <w:embedRegular r:id="rId3" w:fontKey="{A2700212-6176-4AC5-A244-E881594797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0B6E"/>
    <w:rsid w:val="000230B1"/>
    <w:rsid w:val="00025032"/>
    <w:rsid w:val="0005300F"/>
    <w:rsid w:val="00083E97"/>
    <w:rsid w:val="000878AA"/>
    <w:rsid w:val="00091F37"/>
    <w:rsid w:val="000948B1"/>
    <w:rsid w:val="000C0B6E"/>
    <w:rsid w:val="000F0CE3"/>
    <w:rsid w:val="000F6CF5"/>
    <w:rsid w:val="00104042"/>
    <w:rsid w:val="00114C02"/>
    <w:rsid w:val="00161DBF"/>
    <w:rsid w:val="00194782"/>
    <w:rsid w:val="001A396C"/>
    <w:rsid w:val="00206F58"/>
    <w:rsid w:val="002351AC"/>
    <w:rsid w:val="002367D6"/>
    <w:rsid w:val="002A372E"/>
    <w:rsid w:val="002B76F7"/>
    <w:rsid w:val="002C0668"/>
    <w:rsid w:val="002D410F"/>
    <w:rsid w:val="002E6DAE"/>
    <w:rsid w:val="00313192"/>
    <w:rsid w:val="00322E8B"/>
    <w:rsid w:val="00365746"/>
    <w:rsid w:val="00376576"/>
    <w:rsid w:val="0037746C"/>
    <w:rsid w:val="00380E89"/>
    <w:rsid w:val="0038595C"/>
    <w:rsid w:val="003B03E1"/>
    <w:rsid w:val="003B647B"/>
    <w:rsid w:val="003D3947"/>
    <w:rsid w:val="003E6344"/>
    <w:rsid w:val="003F75F3"/>
    <w:rsid w:val="00415170"/>
    <w:rsid w:val="004409A0"/>
    <w:rsid w:val="00440FB9"/>
    <w:rsid w:val="00445632"/>
    <w:rsid w:val="004517F6"/>
    <w:rsid w:val="004539A1"/>
    <w:rsid w:val="00472AA1"/>
    <w:rsid w:val="004B5216"/>
    <w:rsid w:val="004B7555"/>
    <w:rsid w:val="004C7F95"/>
    <w:rsid w:val="004D54DF"/>
    <w:rsid w:val="004E4BAF"/>
    <w:rsid w:val="004F6000"/>
    <w:rsid w:val="004F79C1"/>
    <w:rsid w:val="0051634E"/>
    <w:rsid w:val="00532EE7"/>
    <w:rsid w:val="00547ACE"/>
    <w:rsid w:val="0055215F"/>
    <w:rsid w:val="005674A9"/>
    <w:rsid w:val="005759DA"/>
    <w:rsid w:val="00593D34"/>
    <w:rsid w:val="005B6C9F"/>
    <w:rsid w:val="005D5530"/>
    <w:rsid w:val="00611FD6"/>
    <w:rsid w:val="006154E1"/>
    <w:rsid w:val="00632E86"/>
    <w:rsid w:val="00642CAC"/>
    <w:rsid w:val="00664E25"/>
    <w:rsid w:val="006668B8"/>
    <w:rsid w:val="00667803"/>
    <w:rsid w:val="00674754"/>
    <w:rsid w:val="006822C3"/>
    <w:rsid w:val="00690888"/>
    <w:rsid w:val="00694333"/>
    <w:rsid w:val="00695212"/>
    <w:rsid w:val="006A3BBE"/>
    <w:rsid w:val="006C150B"/>
    <w:rsid w:val="006D5B4D"/>
    <w:rsid w:val="006D5C90"/>
    <w:rsid w:val="006E6D17"/>
    <w:rsid w:val="006F2EC8"/>
    <w:rsid w:val="006F3F7F"/>
    <w:rsid w:val="006F5A51"/>
    <w:rsid w:val="00753A06"/>
    <w:rsid w:val="007573E8"/>
    <w:rsid w:val="00797B2D"/>
    <w:rsid w:val="007B1392"/>
    <w:rsid w:val="007D715A"/>
    <w:rsid w:val="007E250E"/>
    <w:rsid w:val="007E3DAE"/>
    <w:rsid w:val="00820DD2"/>
    <w:rsid w:val="00825177"/>
    <w:rsid w:val="00862E37"/>
    <w:rsid w:val="00862E53"/>
    <w:rsid w:val="008D7D04"/>
    <w:rsid w:val="008E6C9D"/>
    <w:rsid w:val="008F512A"/>
    <w:rsid w:val="00907F93"/>
    <w:rsid w:val="00922D91"/>
    <w:rsid w:val="009247C1"/>
    <w:rsid w:val="0093648F"/>
    <w:rsid w:val="0098362E"/>
    <w:rsid w:val="009A552A"/>
    <w:rsid w:val="009B2B0A"/>
    <w:rsid w:val="009B7FE4"/>
    <w:rsid w:val="009C0E5E"/>
    <w:rsid w:val="00A40E4A"/>
    <w:rsid w:val="00A57AAA"/>
    <w:rsid w:val="00A8439F"/>
    <w:rsid w:val="00A9744D"/>
    <w:rsid w:val="00AD082A"/>
    <w:rsid w:val="00AE4965"/>
    <w:rsid w:val="00AF537B"/>
    <w:rsid w:val="00B06CC5"/>
    <w:rsid w:val="00B07288"/>
    <w:rsid w:val="00B350A3"/>
    <w:rsid w:val="00B44FED"/>
    <w:rsid w:val="00B74871"/>
    <w:rsid w:val="00B87D35"/>
    <w:rsid w:val="00B95257"/>
    <w:rsid w:val="00BD3D09"/>
    <w:rsid w:val="00BF1A5B"/>
    <w:rsid w:val="00BF4609"/>
    <w:rsid w:val="00C2282A"/>
    <w:rsid w:val="00C60637"/>
    <w:rsid w:val="00C60C0B"/>
    <w:rsid w:val="00C7147A"/>
    <w:rsid w:val="00C942D6"/>
    <w:rsid w:val="00C96B91"/>
    <w:rsid w:val="00CA25F4"/>
    <w:rsid w:val="00CE57A2"/>
    <w:rsid w:val="00CF0A09"/>
    <w:rsid w:val="00CF3B45"/>
    <w:rsid w:val="00CF6E52"/>
    <w:rsid w:val="00D1608B"/>
    <w:rsid w:val="00D2330D"/>
    <w:rsid w:val="00D322F7"/>
    <w:rsid w:val="00D76C6A"/>
    <w:rsid w:val="00D97364"/>
    <w:rsid w:val="00DA2006"/>
    <w:rsid w:val="00DA4793"/>
    <w:rsid w:val="00E27286"/>
    <w:rsid w:val="00E36F47"/>
    <w:rsid w:val="00E571A1"/>
    <w:rsid w:val="00E67263"/>
    <w:rsid w:val="00E713E6"/>
    <w:rsid w:val="00E81DF5"/>
    <w:rsid w:val="00EA0BD3"/>
    <w:rsid w:val="00EA2CB1"/>
    <w:rsid w:val="00EA5504"/>
    <w:rsid w:val="00EC4849"/>
    <w:rsid w:val="00EC64E8"/>
    <w:rsid w:val="00EF6B86"/>
    <w:rsid w:val="00F050B4"/>
    <w:rsid w:val="00F14354"/>
    <w:rsid w:val="00F302DF"/>
    <w:rsid w:val="00F54DE6"/>
    <w:rsid w:val="00F60A16"/>
    <w:rsid w:val="00F678AF"/>
    <w:rsid w:val="00F73E6A"/>
    <w:rsid w:val="00FB3C8A"/>
    <w:rsid w:val="00FB4F69"/>
    <w:rsid w:val="00FB5C90"/>
    <w:rsid w:val="00FD4643"/>
    <w:rsid w:val="00FF4E3C"/>
    <w:rsid w:val="2DFD01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unhideWhenUsed/>
    <w:qFormat/>
    <w:uiPriority w:val="9"/>
    <w:pPr>
      <w:keepNext/>
      <w:keepLines/>
      <w:adjustRightInd w:val="0"/>
      <w:spacing w:before="260" w:after="260" w:line="416" w:lineRule="atLeast"/>
      <w:jc w:val="left"/>
      <w:textAlignment w:val="baseline"/>
      <w:outlineLvl w:val="1"/>
    </w:pPr>
    <w:rPr>
      <w:rFonts w:asciiTheme="majorHAnsi" w:hAnsiTheme="majorHAnsi" w:eastAsiaTheme="majorEastAsia" w:cstheme="majorBidi"/>
      <w:b/>
      <w:bCs/>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4"/>
    <w:qFormat/>
    <w:uiPriority w:val="1"/>
    <w:pPr>
      <w:ind w:left="134"/>
      <w:jc w:val="left"/>
    </w:pPr>
    <w:rPr>
      <w:rFonts w:ascii="Arial Unicode MS" w:hAnsi="Arial Unicode MS" w:eastAsia="Arial Unicode MS" w:cstheme="minorBidi"/>
      <w:kern w:val="0"/>
      <w:sz w:val="28"/>
      <w:szCs w:val="28"/>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Calibri" w:hAnsi="Calibri" w:eastAsia="宋体" w:cs="Times New Roman"/>
      <w:sz w:val="18"/>
      <w:szCs w:val="18"/>
    </w:rPr>
  </w:style>
  <w:style w:type="character" w:customStyle="1" w:styleId="10">
    <w:name w:val="页脚 Char"/>
    <w:basedOn w:val="8"/>
    <w:link w:val="5"/>
    <w:uiPriority w:val="99"/>
    <w:rPr>
      <w:rFonts w:ascii="Calibri" w:hAnsi="Calibri" w:eastAsia="宋体" w:cs="Times New Roman"/>
      <w:sz w:val="18"/>
      <w:szCs w:val="18"/>
    </w:rPr>
  </w:style>
  <w:style w:type="character" w:customStyle="1" w:styleId="11">
    <w:name w:val="标题 2 Char"/>
    <w:basedOn w:val="8"/>
    <w:link w:val="2"/>
    <w:qFormat/>
    <w:uiPriority w:val="9"/>
    <w:rPr>
      <w:rFonts w:asciiTheme="majorHAnsi" w:hAnsiTheme="majorHAnsi" w:eastAsiaTheme="majorEastAsia" w:cstheme="majorBidi"/>
      <w:b/>
      <w:bCs/>
      <w:kern w:val="0"/>
      <w:sz w:val="32"/>
      <w:szCs w:val="32"/>
    </w:rPr>
  </w:style>
  <w:style w:type="table" w:customStyle="1" w:styleId="12">
    <w:name w:val="Table Normal"/>
    <w:semiHidden/>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13">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4">
    <w:name w:val="正文文本 Char"/>
    <w:basedOn w:val="8"/>
    <w:link w:val="3"/>
    <w:uiPriority w:val="1"/>
    <w:rPr>
      <w:rFonts w:ascii="Arial Unicode MS" w:hAnsi="Arial Unicode MS" w:eastAsia="Arial Unicode MS"/>
      <w:kern w:val="0"/>
      <w:sz w:val="28"/>
      <w:szCs w:val="28"/>
      <w:lang w:eastAsia="en-US"/>
    </w:rPr>
  </w:style>
  <w:style w:type="paragraph" w:styleId="15">
    <w:name w:val="List Paragraph"/>
    <w:basedOn w:val="1"/>
    <w:qFormat/>
    <w:uiPriority w:val="34"/>
    <w:pPr>
      <w:ind w:firstLine="420" w:firstLineChars="200"/>
    </w:pPr>
  </w:style>
  <w:style w:type="character" w:customStyle="1" w:styleId="16">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157</Words>
  <Characters>899</Characters>
  <Lines>7</Lines>
  <Paragraphs>2</Paragraphs>
  <TotalTime>0</TotalTime>
  <ScaleCrop>false</ScaleCrop>
  <LinksUpToDate>false</LinksUpToDate>
  <CharactersWithSpaces>1054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2020-05-18T04:24:00Z</dcterms:created>
  <dc:creator>魏继业</dc:creator>
  <cp:lastModifiedBy>心之所在</cp:lastModifiedBy>
  <dcterms:modified xsi:type="dcterms:W3CDTF">2020-05-18T06:58:18Z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